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产品手册设计服务合同</w:t>
      </w:r>
    </w:p>
    <w:p>
      <w:r>
        <w:t>虚构双方：栖光工作室（甲方）与青屿设计社（乙方） | reviewed</w:t>
      </w:r>
    </w:p>
    <w:p>
      <w:r>
        <w:t>虚构演示样例 · 所有机构、金额与事件均为示例；非客户数据，非真实任务执行证明。</w:t>
      </w:r>
    </w:p>
    <w:p>
      <w:r>
        <w:t>本文件仅展示合同阅读、审阅与修订的文件形式。审阅意见是演示性问题提示，不构成法律意见，使用前应由适用法域专业人士审查。</w:t>
      </w:r>
    </w:p>
    <w:p>
      <w:pPr>
        <w:pStyle w:val="Heading1"/>
      </w:pPr>
      <w:r>
        <w:t>1 服务范围</w:t>
      </w:r>
    </w:p>
    <w:p>
      <w:r>
        <w:t>乙方向甲方交付一套20页的演示产品手册。具体图片与文字由甲方提供。</w:t>
      </w:r>
    </w:p>
    <w:p>
      <w:pPr>
        <w:pStyle w:val="Heading1"/>
      </w:pPr>
      <w:r>
        <w:t>2 交付与验收</w:t>
      </w:r>
    </w:p>
    <w:p>
      <w:commentRangeStart w:id="0"/>
      <w:r>
        <w:t>乙方收到材料后开始制作，甲方应尽快验收。</w:t>
      </w:r>
      <w:commentRangeEnd w:id="0"/>
      <w:r>
        <w:rPr>
          <w:rStyle w:val="CommentReference"/>
        </w:rPr>
        <w:commentReference w:id="0"/>
      </w:r>
    </w:p>
    <w:p>
      <w:r>
        <w:t>审阅意见：“尽快”缺少明确期限与验收方式，建议约定起算条件及书面反馈。</w:t>
      </w:r>
    </w:p>
    <w:p>
      <w:pPr>
        <w:pStyle w:val="Heading1"/>
      </w:pPr>
      <w:r>
        <w:t>3 费用与付款</w:t>
      </w:r>
    </w:p>
    <w:p>
      <w:commentRangeStart w:id="1"/>
      <w:r>
        <w:t>服务总价为人民币18000元，签约后支付全部款项。</w:t>
      </w:r>
      <w:commentRangeEnd w:id="1"/>
      <w:r>
        <w:rPr>
          <w:rStyle w:val="CommentReference"/>
        </w:rPr>
        <w:commentReference w:id="1"/>
      </w:r>
    </w:p>
    <w:p>
      <w:r>
        <w:t>审阅意见：全额预付款使甲方承担较集中风险，可协商分阶段付款。</w:t>
      </w:r>
    </w:p>
    <w:p>
      <w:pPr>
        <w:pStyle w:val="Heading1"/>
      </w:pPr>
      <w:r>
        <w:t>4 知识产权</w:t>
      </w:r>
    </w:p>
    <w:p>
      <w:commentRangeStart w:id="2"/>
      <w:r>
        <w:t>所有成果及使用的素材知识产权全部归甲方。</w:t>
      </w:r>
      <w:commentRangeEnd w:id="2"/>
      <w:r>
        <w:rPr>
          <w:rStyle w:val="CommentReference"/>
        </w:rPr>
        <w:commentReference w:id="2"/>
      </w:r>
    </w:p>
    <w:p>
      <w:r>
        <w:t>审阅意见：第三方素材与既有模板不能当然全部转让，应核对授权范围。</w:t>
      </w:r>
    </w:p>
    <w:p>
      <w:pPr>
        <w:pStyle w:val="Heading1"/>
      </w:pPr>
      <w:r>
        <w:t>5 变更与终止</w:t>
      </w:r>
    </w:p>
    <w:p>
      <w:commentRangeStart w:id="3"/>
      <w:r>
        <w:t>甲方可随时提出修改，乙方应配合；终止后的费用由双方另行商议。</w:t>
      </w:r>
      <w:commentRangeEnd w:id="3"/>
      <w:r>
        <w:rPr>
          <w:rStyle w:val="CommentReference"/>
        </w:rPr>
        <w:commentReference w:id="3"/>
      </w:r>
    </w:p>
    <w:p>
      <w:r>
        <w:t>审阅意见：无限修改与终止结算均不明确，建议约定轮次与结算规则。</w:t>
      </w:r>
    </w:p>
    <w:sectPr w:rsidR="00FC693F" w:rsidRPr="0006063C" w:rsidSect="00034616">
      <w:footerReference w:type="default" r:id="rId9"/>
      <w:pgSz w:w="12240" w:h="15840"/>
      <w:pgMar w:top="1080" w:right="1152" w:bottom="1080" w:left="1152" w:header="720" w:footer="720" w:gutter="0"/>
      <w:cols w:space="720"/>
      <w:docGrid w:linePitch="360"/>
    </w:sectPr>
  </w:body>
</w:document>
</file>

<file path=word/comments.xml><?xml version="1.0" encoding="utf-8"?>
<w:comments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xmlns:mc="http://schemas.openxmlformats.org/markup-compatibility/2006" xmlns:a14="http://schemas.microsoft.com/office/drawing/2010/main" xmlns:w14="http://schemas.microsoft.com/office/word/2010/wordml" xmlns:wpc="http://schemas.microsoft.com/office/word/2010/wordprocessingCanvas">
  <w:comment w:id="0" w:author="Lily 样例审阅" w:initials="LY" w:date="2026-10-27T11:52:36Z">
    <w:p>
      <w:pPr>
        <w:pStyle w:val="CommentText"/>
      </w:pPr>
      <w:r>
        <w:rPr>
          <w:rStyle w:val="CommentReference"/>
        </w:rPr>
        <w:annotationRef/>
      </w:r>
      <w:r>
        <w:t>审阅意见：“尽快”缺少明确期限与验收方式，建议约定起算条件及书面反馈。</w:t>
      </w:r>
    </w:p>
  </w:comment>
  <w:comment w:id="1" w:author="Lily 样例审阅" w:initials="LY" w:date="2026-10-27T11:52:36Z">
    <w:p>
      <w:pPr>
        <w:pStyle w:val="CommentText"/>
      </w:pPr>
      <w:r>
        <w:rPr>
          <w:rStyle w:val="CommentReference"/>
        </w:rPr>
        <w:annotationRef/>
      </w:r>
      <w:r>
        <w:t>审阅意见：全额预付款使甲方承担较集中风险，可协商分阶段付款。</w:t>
      </w:r>
    </w:p>
  </w:comment>
  <w:comment w:id="2" w:author="Lily 样例审阅" w:initials="LY" w:date="2026-10-27T11:52:36Z">
    <w:p>
      <w:pPr>
        <w:pStyle w:val="CommentText"/>
      </w:pPr>
      <w:r>
        <w:rPr>
          <w:rStyle w:val="CommentReference"/>
        </w:rPr>
        <w:annotationRef/>
      </w:r>
      <w:r>
        <w:t>审阅意见：第三方素材与既有模板不能当然全部转让，应核对授权范围。</w:t>
      </w:r>
    </w:p>
  </w:comment>
  <w:comment w:id="3" w:author="Lily 样例审阅" w:initials="LY" w:date="2026-10-27T11:52:36Z">
    <w:p>
      <w:pPr>
        <w:pStyle w:val="CommentText"/>
      </w:pPr>
      <w:r>
        <w:rPr>
          <w:rStyle w:val="CommentReference"/>
        </w:rPr>
        <w:annotationRef/>
      </w:r>
      <w:r>
        <w:t>审阅意见：无限修改与终止结算均不明确，建议约定轮次与结算规则。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Lily 展厅样例  |  2026年10月27日  |  可编辑文件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Hiragino Sans GB" w:hAnsi="Hiragino Sans GB" w:eastAsia="Hiragino Sans GB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Hiragino Sans GB" w:hAnsi="Hiragino Sans GB" w:eastAsia="Hiragino Sans GB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Hiragino Sans GB" w:hAnsi="Hiragino Sans GB" w:eastAsia="Hiragino Sans GB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Hiragino Sans GB" w:hAnsi="Hiragino Sans GB" w:eastAsia="Hiragino Sans GB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Hiragino Sans GB" w:hAnsi="Hiragino Sans GB" w:eastAsia="Hiragino Sans GB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Hiragino Sans GB" w:hAnsi="Hiragino Sans GB" w:eastAsia="Hiragino Sans GB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Hiragino Sans GB" w:hAnsi="Hiragino Sans GB" w:eastAsia="Hiragino Sans GB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Hiragino Sans GB" w:hAnsi="Hiragino Sans GB" w:eastAsia="Hiragino Sans GB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Hiragino Sans GB" w:hAnsi="Hiragino Sans GB" w:eastAsia="Hiragino Sans GB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Hiragino Sans GB" w:hAnsi="Hiragino Sans GB" w:eastAsia="Hiragino Sans GB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Hiragino Sans GB" w:hAnsi="Hiragino Sans GB" w:eastAsia="Hiragino Sans GB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Hiragino Sans GB" w:hAnsi="Hiragino Sans GB" w:eastAsia="Hiragino Sans GB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Hiragino Sans GB" w:hAnsi="Hiragino Sans GB" w:eastAsia="Hiragino Sans GB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Hiragino Sans GB" w:hAnsi="Hiragino Sans GB" w:eastAsia="Hiragino Sans GB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Hiragino Sans GB" w:hAnsi="Hiragino Sans GB" w:eastAsia="Hiragino Sans GB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Hiragino Sans GB" w:hAnsi="Hiragino Sans GB" w:eastAsia="Hiragino Sans GB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Hiragino Sans GB" w:hAnsi="Hiragino Sans GB" w:eastAsia="Hiragino Sans GB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Hiragino Sans GB" w:hAnsi="Hiragino Sans GB" w:eastAsia="Hiragino Sans GB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Hiragino Sans GB" w:hAnsi="Hiragino Sans GB" w:eastAsia="Hiragino Sans GB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Hiragino Sans GB" w:hAnsi="Hiragino Sans GB" w:eastAsia="Hiragino Sans GB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Hiragino Sans GB" w:hAnsi="Hiragino Sans GB" w:eastAsia="Hiragino Sans GB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Hiragino Sans GB" w:hAnsi="Hiragino Sans GB" w:eastAsia="Hiragino Sans GB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Hiragino Sans GB" w:hAnsi="Hiragino Sans GB" w:eastAsia="Hiragino Sans GB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Hiragino Sans GB" w:hAnsi="Hiragino Sans GB" w:eastAsia="Hiragino Sans GB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Hiragino Sans GB" w:hAnsi="Hiragino Sans GB" w:eastAsia="Hiragino Sans GB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Hiragino Sans GB" w:hAnsi="Hiragino Sans GB" w:eastAsia="Hiragino Sans GB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Hiragino Sans GB" w:hAnsi="Hiragino Sans GB" w:eastAsia="Hiragino Sans GB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Hiragino Sans GB" w:hAnsi="Hiragino Sans GB" w:eastAsia="Hiragino Sans GB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Hiragino Sans GB" w:hAnsi="Hiragino Sans GB" w:eastAsia="Hiragino Sans GB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Hiragino Sans GB" w:hAnsi="Hiragino Sans GB" w:eastAsia="Hiragino Sans GB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Hiragino Sans GB" w:hAnsi="Hiragino Sans GB" w:eastAsia="Hiragino Sans GB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Hiragino Sans GB" w:hAnsi="Hiragino Sans GB" w:eastAsia="Hiragino Sans GB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Hiragino Sans GB" w:hAnsi="Hiragino Sans GB" w:eastAsia="Hiragino Sans GB"/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Hiragino Sans GB" w:hAnsi="Hiragino Sans GB" w:eastAsia="Hiragino Sans GB"/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="Hiragino Sans GB" w:hAnsi="Hiragino Sans GB" w:eastAsia="Hiragino Sans GB"/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Hiragino Sans GB" w:hAnsi="Hiragino Sans GB" w:eastAsia="Hiragino Sans GB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