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十月项目进展与后续安排</w:t>
      </w:r>
    </w:p>
    <w:p>
      <w:r>
        <w:t>致项目负责人  |  栖光设计工作室  |  初稿 V1</w:t>
      </w:r>
    </w:p>
    <w:p>
      <w:r>
        <w:t>虚构演示样例 · 所有机构、金额与事件均为示例；非客户数据，非真实任务执行证明。</w:t>
      </w:r>
    </w:p>
    <w:p>
      <w:r>
        <w:t>本月三项演示项目共计划25项工作，已内部完成20项，完成比例80%。剩余5项集中在文案确认和图片补充；建议先解决材料依赖，再安排后续交付。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项目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计划项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内部完成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待完成</w:t>
            </w:r>
          </w:p>
        </w:tc>
      </w:tr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展厅导视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12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9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3</w:t>
            </w:r>
          </w:p>
        </w:tc>
      </w:tr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产品手册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8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6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</w:t>
            </w:r>
          </w:p>
        </w:tc>
      </w:tr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会议材料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5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5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0</w:t>
            </w:r>
          </w:p>
        </w:tc>
      </w:tr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合计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25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20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5</w:t>
            </w:r>
          </w:p>
        </w:tc>
      </w:tr>
    </w:tbl>
    <w:p>
      <w:pPr>
        <w:pStyle w:val="Heading1"/>
      </w:pPr>
      <w:r>
        <w:t>材料依据与判断</w:t>
      </w:r>
    </w:p>
    <w:p>
      <w:r>
        <w:t>数量来自材料A项目台账；依赖与日期来自材料B周会记录。80%按20÷25计算，仅表示内部任务完成比例，不能代表客户验收率。没有外部引用或真实客户信息。</w:t>
      </w:r>
    </w:p>
    <w:p>
      <w:pPr>
        <w:pStyle w:val="Heading1"/>
      </w:pPr>
      <w:r>
        <w:t>当前阻碍</w:t>
      </w:r>
    </w:p>
    <w:p>
      <w:r>
        <w:t>导视项目仍需确认3项文案；产品手册缺少2张图片。两项均需要材料补齐后复核，不能仅凭当前状态判定最终交付完成。</w:t>
      </w:r>
    </w:p>
    <w:p>
      <w:pPr>
        <w:pStyle w:val="Heading1"/>
      </w:pPr>
      <w:r>
        <w:t>下一步</w:t>
      </w:r>
    </w:p>
    <w:p>
      <w:r>
        <w:t>建议项目负责人汇总导视文案问题，内容编辑补齐手册图片。下一版应增加责任角色、日期与验收边界，便于逐项跟进。</w:t>
      </w:r>
    </w:p>
    <w:sectPr w:rsidR="00FC693F" w:rsidRPr="0006063C" w:rsidSect="00034616">
      <w:footerReference w:type="default" r:id="rId9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Lily 展厅样例  |  2026年10月27日  |  可编辑文件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Hiragino Sans GB" w:hAnsi="Hiragino Sans GB" w:eastAsia="Hiragino Sans G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Hiragino Sans GB" w:hAnsi="Hiragino Sans GB" w:eastAsia="Hiragino Sans GB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Hiragino Sans GB" w:hAnsi="Hiragino Sans GB" w:eastAsia="Hiragino Sans GB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Hiragino Sans GB" w:hAnsi="Hiragino Sans GB" w:eastAsia="Hiragino Sans GB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iragino Sans GB" w:hAnsi="Hiragino Sans GB" w:eastAsia="Hiragino Sans GB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Hiragino Sans GB" w:hAnsi="Hiragino Sans GB" w:eastAsia="Hiragino Sans G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Hiragino Sans GB" w:hAnsi="Hiragino Sans GB" w:eastAsia="Hiragino Sans G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Hiragino Sans GB" w:hAnsi="Hiragino Sans GB" w:eastAsia="Hiragino Sans G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Hiragino Sans GB" w:hAnsi="Hiragino Sans GB" w:eastAsia="Hiragino Sans GB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Hiragino Sans GB" w:hAnsi="Hiragino Sans GB" w:eastAsia="Hiragino Sans GB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Hiragino Sans GB" w:hAnsi="Hiragino Sans GB" w:eastAsia="Hiragino Sans GB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Hiragino Sans GB" w:hAnsi="Hiragino Sans GB" w:eastAsia="Hiragino Sans G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Hiragino Sans GB" w:hAnsi="Hiragino Sans GB" w:eastAsia="Hiragino Sans 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Hiragino Sans GB" w:hAnsi="Hiragino Sans GB" w:eastAsia="Hiragino Sans G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Hiragino Sans GB" w:hAnsi="Hiragino Sans GB" w:eastAsia="Hiragino Sans G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Hiragino Sans GB" w:hAnsi="Hiragino Sans GB" w:eastAsia="Hiragino Sans 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Hiragino Sans GB" w:hAnsi="Hiragino Sans GB" w:eastAsia="Hiragino Sans G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Hiragino Sans GB" w:hAnsi="Hiragino Sans GB" w:eastAsia="Hiragino Sans G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Hiragino Sans GB" w:hAnsi="Hiragino Sans GB" w:eastAsia="Hiragino Sans G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Hiragino Sans GB" w:hAnsi="Hiragino Sans GB" w:eastAsia="Hiragino Sans G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Hiragino Sans GB" w:hAnsi="Hiragino Sans GB" w:eastAsia="Hiragino Sans G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iragino Sans GB" w:hAnsi="Hiragino Sans GB" w:eastAsia="Hiragino Sans GB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Hiragino Sans GB" w:hAnsi="Hiragino Sans GB" w:eastAsia="Hiragino Sans GB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Hiragino Sans GB" w:hAnsi="Hiragino Sans GB" w:eastAsia="Hiragino Sans GB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Hiragino Sans GB" w:hAnsi="Hiragino Sans GB" w:eastAsia="Hiragino Sans GB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Hiragino Sans GB" w:hAnsi="Hiragino Sans GB" w:eastAsia="Hiragino Sans G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